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spacing w:after="80"/>
      </w:pPr>
      <w:r>
        <w:rPr>
          <w:rFonts w:ascii="Aptos" w:hAnsi="Aptos"/>
          <w:b/>
          <w:color w:val="315F74"/>
          <w:sz w:val="20"/>
        </w:rPr>
        <w:t>EXAMPLE JOB DESCRIPTION</w:t>
      </w:r>
    </w:p>
    <w:p>
      <w:pPr>
        <w:pStyle w:val="Title"/>
        <w:spacing w:after="100"/>
      </w:pPr>
      <w:r>
        <w:rPr>
          <w:rFonts w:ascii="Aptos" w:hAnsi="Aptos"/>
          <w:b/>
          <w:color w:val="315F74"/>
          <w:sz w:val="52"/>
        </w:rPr>
        <w:t>Campus Safety Officer</w:t>
      </w:r>
    </w:p>
    <w:p>
      <w:pPr>
        <w:spacing w:after="240"/>
      </w:pPr>
      <w:r>
        <w:rPr>
          <w:rFonts w:ascii="Aptos" w:hAnsi="Aptos"/>
          <w:b/>
          <w:color w:val="66747A"/>
          <w:sz w:val="24"/>
        </w:rPr>
        <w:t>Visible And Student-Centered Campus Safety, Access And Visitor Procedures, Hazard Reporting, De-Escalation, Emergency Support, Objective Documentation, And Positive Relationships</w:t>
      </w:r>
    </w:p>
    <w:p>
      <w:pPr>
        <w:keepLines/>
        <w:spacing w:before="120" w:after="160"/>
        <w:ind w:left="230" w:right="115"/>
        <w:pBdr>
          <w:left w:val="single" w:sz="18" w:space="8" w:color="FDAB42"/>
        </w:pBdr>
        <w:shd w:fill="EAF3F7"/>
      </w:pPr>
      <w:r>
        <w:rPr>
          <w:rFonts w:ascii="Aptos" w:hAnsi="Aptos"/>
          <w:b/>
          <w:color w:val="315F74"/>
          <w:sz w:val="19"/>
        </w:rPr>
        <w:t xml:space="preserve">REFERENCE RESOURCE - NOT A JOB POSTING. This example does not represent an open position with the School Data Leadership Association.</w:t>
      </w:r>
      <w:r>
        <w:rPr>
          <w:rFonts w:ascii="Aptos" w:hAnsi="Aptos"/>
          <w:color w:val="66747A"/>
          <w:sz w:val="19"/>
        </w:rPr>
        <w:t/>
      </w:r>
    </w:p>
    <w:p>
      <w:pPr>
        <w:pStyle w:val="Heading1"/>
        <w:keepNext/>
        <w:pBdr>
          <w:left w:val="single" w:sz="18" w:space="8" w:color="FDAB42"/>
        </w:pBdr>
      </w:pPr>
      <w:r>
        <w:t>Position Information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Department / Division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department or division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Classification</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district-determined classification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Employment Status</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Full-time; insert district-determined exempt or nonexempt status</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Work Year</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annual workdays or work-calendar information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Range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salary schedule and range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Bargaining Unit</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bargaining-unit or unrepresented-management designation</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Primary Location</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district-specific primary location</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Position Number</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district position or classification number</w:t>
            </w:r>
          </w:p>
        </w:tc>
      </w:tr>
    </w:tbl>
    <w:p>
      <w:pPr>
        <w:pStyle w:val="Heading1"/>
        <w:keepNext/>
        <w:pBdr>
          <w:left w:val="single" w:sz="18" w:space="8" w:color="FDAB42"/>
        </w:pBdr>
      </w:pPr>
      <w:r>
        <w:t>Position Description</w:t>
      </w:r>
    </w:p>
    <w:p>
      <w:r>
        <w:t>Under the direction of the appropriate district administrator, the Campus Safety Officer provides work supporting visible and student-centered campus safety, access and visitor procedures, hazard reporting, de-escalation, emergency support, objective documentation, and positive relationships.</w:t>
      </w:r>
    </w:p>
    <w:p>
      <w:r>
        <w:t>The position applies visible, student-centered campus safety, access and visitor procedures, hazard identification, de-escalation, emergency response support, documentation, and relationship building across visitor management, access control, radio and dispatch, emergency notification, video systems within authorized duties, digital incident reporting, work orders, event schedules, student information lookup when authorized, and staff communication tools. It establishes or follows clear ownership, validation, security, documentation, review, and escalation practices appropriate to the role’s assigned authority.</w:t>
      </w:r>
    </w:p>
    <w:p>
      <w:r>
        <w:t>The Campus Safety Officer collaborates with students, families, teachers, school administrators, counselors, nurses, special education staff, facilities, transportation, athletics and activities staff, district safety personnel, and first responders. The role is accountable for reliable coverage, objective documentation, appropriate system use, timely communication, de-escalation, emergency support, and prompt escalation while protecting confidential information and working within clearly defined non-sworn authority.</w:t>
      </w:r>
    </w:p>
    <w:p>
      <w:pPr>
        <w:pStyle w:val="Heading1"/>
        <w:keepNext/>
        <w:pBdr>
          <w:left w:val="single" w:sz="18" w:space="8" w:color="FDAB42"/>
        </w:pBdr>
      </w:pPr>
      <w:r>
        <w:t>Reports To</w:t>
      </w:r>
    </w:p>
    <w:p>
      <w:r>
        <w:rPr>
          <w:rFonts w:ascii="Aptos" w:hAnsi="Aptos"/>
          <w:i/>
          <w:color w:val="66747A"/>
        </w:rPr>
        <w:t>Insert your school district’s specific reporting relationship here.</w:t>
      </w:r>
    </w:p>
    <w:p>
      <w:pPr>
        <w:pStyle w:val="Heading1"/>
        <w:keepNext/>
        <w:pBdr>
          <w:left w:val="single" w:sz="18" w:space="8" w:color="FDAB42"/>
        </w:pBdr>
      </w:pPr>
      <w:r>
        <w:t>Required Education and Credentials</w:t>
      </w:r>
    </w:p>
    <w:p>
      <w:pPr>
        <w:pStyle w:val="Heading2"/>
        <w:keepNext/>
      </w:pPr>
      <w:r>
        <w:t>Required</w:t>
      </w:r>
    </w:p>
    <w:p>
      <w:pPr>
        <w:pStyle w:val="ListBullet"/>
        <w:keepLines/>
      </w:pPr>
      <w:r>
        <w:t>High school diploma or equivalent.</w:t>
      </w:r>
    </w:p>
    <w:p>
      <w:pPr>
        <w:pStyle w:val="ListBullet"/>
        <w:keepLines/>
      </w:pPr>
      <w:r>
        <w:t>Successful completion of all district-required criminal-record, fingerprint, employment, and driving clearances applicable to the assignment.</w:t>
      </w:r>
    </w:p>
    <w:p>
      <w:pPr>
        <w:pStyle w:val="ListBullet"/>
        <w:keepLines/>
      </w:pPr>
      <w:r>
        <w:t>Completion of district-required training in campus safety procedures, emergency response, de-escalation, first aid or emergency care, mandated reporting, student privacy, disability awareness, nondiscrimination, and incident documentation within established timelines.</w:t>
      </w:r>
    </w:p>
    <w:p>
      <w:pPr>
        <w:pStyle w:val="Heading2"/>
        <w:keepNext/>
      </w:pPr>
      <w:r>
        <w:t>Preferred</w:t>
      </w:r>
    </w:p>
    <w:p>
      <w:pPr>
        <w:pStyle w:val="ListBullet"/>
        <w:keepLines/>
      </w:pPr>
      <w:r>
        <w:t>College coursework or an associate degree in education, public safety, emergency management, human services, security, or a closely related field.</w:t>
      </w:r>
    </w:p>
    <w:p>
      <w:pPr>
        <w:pStyle w:val="ListBullet"/>
        <w:keepLines/>
      </w:pPr>
      <w:r>
        <w:t>Experience or training in youth development, restorative practices, trauma-aware interaction, conflict de-escalation, visitor management, radio communication, or emergency preparedness.</w:t>
      </w:r>
    </w:p>
    <w:p>
      <w:pPr>
        <w:pStyle w:val="ListBullet"/>
        <w:keepLines/>
      </w:pPr>
      <w:r>
        <w:t>Current first aid, cardiopulmonary resuscitation, automated external defibrillator, or other locally required emergency-care certification.</w:t>
      </w:r>
    </w:p>
    <w:p>
      <w:pPr>
        <w:pStyle w:val="Heading1"/>
        <w:keepNext/>
        <w:pBdr>
          <w:left w:val="single" w:sz="18" w:space="8" w:color="FDAB42"/>
        </w:pBdr>
      </w:pPr>
      <w:r>
        <w:t>Required / Desired Experience</w:t>
      </w:r>
    </w:p>
    <w:p>
      <w:pPr>
        <w:pStyle w:val="Heading2"/>
        <w:keepNext/>
      </w:pPr>
      <w:r>
        <w:t>Required Experience</w:t>
      </w:r>
    </w:p>
    <w:p>
      <w:pPr>
        <w:pStyle w:val="ListBullet"/>
        <w:keepLines/>
      </w:pPr>
      <w:r>
        <w:t>One or more years of experience working with students, families, schools, public-facing safety operations, youth programs, emergency services, security, or a closely related function.</w:t>
      </w:r>
    </w:p>
    <w:p>
      <w:pPr>
        <w:pStyle w:val="ListBullet"/>
        <w:keepLines/>
      </w:pPr>
      <w:r>
        <w:t>Experience with visible and student-centered campus safety, access and visitor procedures, hazard reporting, de-escalation, emergency support, objective documentation, and positive relationships.</w:t>
      </w:r>
    </w:p>
    <w:p>
      <w:pPr>
        <w:pStyle w:val="ListBullet"/>
        <w:keepLines/>
      </w:pPr>
      <w:r>
        <w:t>Experience interpreting requirements, procedures, definitions, reports, system information, or technical documentation relevant to assigned work.</w:t>
      </w:r>
    </w:p>
    <w:p>
      <w:pPr>
        <w:pStyle w:val="ListBullet"/>
        <w:keepLines/>
      </w:pPr>
      <w:r>
        <w:t>Experience coordinating or completing deadline-driven work with careful documentation and quality control.</w:t>
      </w:r>
    </w:p>
    <w:p>
      <w:pPr>
        <w:pStyle w:val="ListBullet"/>
        <w:keepLines/>
      </w:pPr>
      <w:r>
        <w:t>Experience handling confidential information and communicating with users or stakeholders.</w:t>
      </w:r>
    </w:p>
    <w:p>
      <w:pPr>
        <w:pStyle w:val="Heading2"/>
        <w:keepNext/>
      </w:pPr>
      <w:r>
        <w:t>Desired Experience</w:t>
      </w:r>
    </w:p>
    <w:p>
      <w:pPr>
        <w:pStyle w:val="ListBullet"/>
        <w:keepLines/>
      </w:pPr>
      <w:r>
        <w:t>Experience with visitor management, access control, radio and dispatch, emergency notification, video systems within authorized duties, digital incident reporting, work orders, event schedules, student information lookup when authorized, and staff communication tools.</w:t>
      </w:r>
    </w:p>
    <w:p>
      <w:pPr>
        <w:pStyle w:val="ListBullet"/>
        <w:keepLines/>
      </w:pPr>
      <w:r>
        <w:t>Experience partnering with students, families, teachers, school administrators, counselors, nurses, special education staff, facilities, transportation, athletics and activities staff, district safety personnel, and first responders.</w:t>
      </w:r>
    </w:p>
    <w:p>
      <w:pPr>
        <w:pStyle w:val="ListBullet"/>
        <w:keepLines/>
      </w:pPr>
      <w:r>
        <w:t>Experience in incident response, application support, data validation, user guidance, documentation, and escalation.</w:t>
      </w:r>
    </w:p>
    <w:p>
      <w:pPr>
        <w:pStyle w:val="ListBullet"/>
        <w:keepLines/>
      </w:pPr>
      <w:r>
        <w:t>Experience using digital incident reports, visitor or access tools, radios, work-order systems, scheduling tools, or basic spreadsheets when relevant to assigned duties.</w:t>
      </w:r>
    </w:p>
    <w:p>
      <w:pPr>
        <w:pStyle w:val="ListBullet"/>
        <w:keepLines/>
      </w:pPr>
      <w:r>
        <w:t>Experience developing accessible training, technical documentation, process maps, data dictionaries, or continuity materials.</w:t>
      </w:r>
    </w:p>
    <w:p>
      <w:pPr>
        <w:pStyle w:val="Heading1"/>
        <w:keepNext/>
        <w:pBdr>
          <w:left w:val="single" w:sz="18" w:space="8" w:color="FDAB42"/>
        </w:pBdr>
      </w:pPr>
      <w:r>
        <w:t>Essential Duties and Responsibilities</w:t>
      </w:r>
    </w:p>
    <w:p>
      <w:pPr>
        <w:pStyle w:val="Heading2"/>
        <w:keepNext/>
      </w:pPr>
      <w:r>
        <w:t>Planning, Operations, and Service Delivery</w:t>
      </w:r>
    </w:p>
    <w:p>
      <w:pPr>
        <w:pStyle w:val="ListBullet"/>
        <w:keepLines/>
      </w:pPr>
      <w:r>
        <w:t>Maintain a visible, approachable presence across assigned entrances, grounds, arrival, dismissal, transitions, meals, events, and other identified coverage periods.</w:t>
      </w:r>
    </w:p>
    <w:p>
      <w:pPr>
        <w:pStyle w:val="ListBullet"/>
        <w:keepLines/>
      </w:pPr>
      <w:r>
        <w:t>Apply approved visitor, access, key or credential, parking, traffic, property, lost-child, welfare, hazard, and emergency procedures within assigned non-sworn authority.</w:t>
      </w:r>
    </w:p>
    <w:p>
      <w:pPr>
        <w:pStyle w:val="ListBullet"/>
        <w:keepLines/>
      </w:pPr>
      <w:r>
        <w:t>Observe and promptly report unsafe conditions, concerning behavior, system failures, access issues, medical needs, conflicts, and emergencies through designated channels.</w:t>
      </w:r>
    </w:p>
    <w:p>
      <w:pPr>
        <w:pStyle w:val="ListBullet"/>
        <w:keepLines/>
      </w:pPr>
      <w:r>
        <w:t>Use age-appropriate communication, de-escalation, trauma-aware practices, disability awareness, and culturally responsive interaction to support safe resolution and student connection.</w:t>
      </w:r>
    </w:p>
    <w:p>
      <w:pPr>
        <w:pStyle w:val="ListBullet"/>
        <w:keepLines/>
      </w:pPr>
      <w:r>
        <w:t>Support evacuations, sheltering, lockdown, reunification, responder access, perimeter control, accountability, and recovery tasks as trained and directed.</w:t>
      </w:r>
    </w:p>
    <w:p>
      <w:pPr>
        <w:pStyle w:val="Heading2"/>
        <w:keepNext/>
      </w:pPr>
      <w:r>
        <w:t>Data Quality, Controls, and Documentation</w:t>
      </w:r>
    </w:p>
    <w:p>
      <w:pPr>
        <w:pStyle w:val="ListBullet"/>
        <w:keepLines/>
      </w:pPr>
      <w:r>
        <w:t>Create factual, timely, objective incident and activity records that distinguish direct observation, reported information, actions taken, notifications, evidence, and unresolved needs.</w:t>
      </w:r>
    </w:p>
    <w:p>
      <w:pPr>
        <w:pStyle w:val="ListBullet"/>
        <w:keepLines/>
      </w:pPr>
      <w:r>
        <w:t>Use only authorized systems and minimum-necessary student or visitor information; protect credentials, radio traffic, reports, images, access logs, and medical or disability information.</w:t>
      </w:r>
    </w:p>
    <w:p>
      <w:pPr>
        <w:pStyle w:val="ListBullet"/>
        <w:keepLines/>
      </w:pPr>
      <w:r>
        <w:t>Inspect assigned radios, emergency equipment, doors, gates, lighting, signage, visitor tools, and other safety resources and route defects through trackable work orders.</w:t>
      </w:r>
    </w:p>
    <w:p>
      <w:pPr>
        <w:pStyle w:val="ListBullet"/>
        <w:keepLines/>
      </w:pPr>
      <w:r>
        <w:t>Follow clear boundaries among campus safety, school discipline, searches, law enforcement, clinical intervention, restraint, and administrative decision making.</w:t>
      </w:r>
    </w:p>
    <w:p>
      <w:pPr>
        <w:pStyle w:val="ListBullet"/>
        <w:keepLines/>
      </w:pPr>
      <w:r>
        <w:t>Recognize patterns in locations, times, activities, repeat hazards, near misses, and service requests and communicate them without profiling students or groups.</w:t>
      </w:r>
    </w:p>
    <w:p>
      <w:pPr>
        <w:pStyle w:val="Heading2"/>
        <w:keepNext/>
      </w:pPr>
      <w:r>
        <w:t>Campus Safety Officer-Specific Leadership and Support</w:t>
      </w:r>
    </w:p>
    <w:p>
      <w:pPr>
        <w:pStyle w:val="ListBullet"/>
        <w:keepLines/>
      </w:pPr>
      <w:r>
        <w:t>Own or support the assigned portfolio for visible and student-centered campus safety, access and visitor procedures, hazard reporting, de-escalation, emergency support, objective documentation, and positive relationships, with responsibilities clearly matched to the position’s authority and classification.</w:t>
      </w:r>
    </w:p>
    <w:p>
      <w:pPr>
        <w:pStyle w:val="ListBullet"/>
        <w:keepLines/>
      </w:pPr>
      <w:r>
        <w:t>Develop role-specific calendars, service expectations, status reporting, support channels, and escalation paths.</w:t>
      </w:r>
    </w:p>
    <w:p>
      <w:pPr>
        <w:pStyle w:val="ListBullet"/>
        <w:keepLines/>
      </w:pPr>
      <w:r>
        <w:t>Coordinate decisions with responsible data owners, program leaders, technical custodians, reviewers, and approving officials.</w:t>
      </w:r>
    </w:p>
    <w:p>
      <w:pPr>
        <w:pStyle w:val="ListBullet"/>
        <w:keepLines/>
      </w:pPr>
      <w:r>
        <w:t>Provide accessible training, guidance, communications, and technical assistance tailored to user responsibilities.</w:t>
      </w:r>
    </w:p>
    <w:p>
      <w:pPr>
        <w:pStyle w:val="ListBullet"/>
        <w:keepLines/>
      </w:pPr>
      <w:r>
        <w:t>Analyze recurring errors, incidents, requests, and process delays and recommend sustainable improvements.</w:t>
      </w:r>
    </w:p>
    <w:p>
      <w:pPr>
        <w:pStyle w:val="Heading2"/>
        <w:keepNext/>
      </w:pPr>
      <w:r>
        <w:t>Security, Improvement, and Continuity</w:t>
      </w:r>
    </w:p>
    <w:p>
      <w:pPr>
        <w:pStyle w:val="ListBullet"/>
        <w:keepLines/>
      </w:pPr>
      <w:r>
        <w:t>Protect personally identifiable and confidential information in systems, files, reports, email, tickets, meetings, training, and support activity.</w:t>
      </w:r>
    </w:p>
    <w:p>
      <w:pPr>
        <w:pStyle w:val="ListBullet"/>
        <w:keepLines/>
      </w:pPr>
      <w:r>
        <w:t>Test consequential changes using representative cases, documented expectations, peer or owner review, and post-change validation.</w:t>
      </w:r>
    </w:p>
    <w:p>
      <w:pPr>
        <w:pStyle w:val="ListBullet"/>
        <w:keepLines/>
      </w:pPr>
      <w:r>
        <w:t>Use automation only with appropriate access, versioning, logging, exception handling, review, and recovery procedures.</w:t>
      </w:r>
    </w:p>
    <w:p>
      <w:pPr>
        <w:pStyle w:val="ListBullet"/>
        <w:keepLines/>
      </w:pPr>
      <w:r>
        <w:t>Maintain current standard operating procedures, cross-training, critical contacts, dependencies, backup coverage, and recovery steps.</w:t>
      </w:r>
    </w:p>
    <w:p>
      <w:pPr>
        <w:pStyle w:val="ListBullet"/>
        <w:keepLines/>
      </w:pPr>
      <w:r>
        <w:t>Perform other related duties consistent with the position’s purpose and classification.</w:t>
      </w:r>
    </w:p>
    <w:p>
      <w:pPr>
        <w:pStyle w:val="Heading1"/>
        <w:keepNext/>
        <w:pBdr>
          <w:left w:val="single" w:sz="18" w:space="8" w:color="FDAB42"/>
        </w:pBdr>
      </w:pPr>
      <w:r>
        <w:t>Required Skills and Abilities</w:t>
      </w:r>
    </w:p>
    <w:p>
      <w:pPr>
        <w:pStyle w:val="Heading2"/>
        <w:keepNext/>
      </w:pPr>
      <w:r>
        <w:t>Knowledge of</w:t>
      </w:r>
    </w:p>
    <w:p>
      <w:pPr>
        <w:pStyle w:val="ListBullet"/>
        <w:keepLines/>
      </w:pPr>
      <w:r>
        <w:t>Visible, student-centered campus safety, access and visitor procedures, hazard identification, de-escalation, emergency response support, documentation, and relationship building.</w:t>
      </w:r>
    </w:p>
    <w:p>
      <w:pPr>
        <w:pStyle w:val="ListBullet"/>
        <w:keepLines/>
      </w:pPr>
      <w:r>
        <w:t>Visitor management, access control, radio and dispatch, emergency notification, video systems within authorized duties, digital incident reporting, work orders, event schedules, student information lookup when authorized, and staff communication tools.</w:t>
      </w:r>
    </w:p>
    <w:p>
      <w:pPr>
        <w:pStyle w:val="ListBullet"/>
        <w:keepLines/>
      </w:pPr>
      <w:r>
        <w:t>Data governance, source ownership, data quality, internal controls, change management, documentation, and continuous improvement.</w:t>
      </w:r>
    </w:p>
    <w:p>
      <w:pPr>
        <w:pStyle w:val="ListBullet"/>
        <w:keepLines/>
      </w:pPr>
      <w:r>
        <w:t>Student privacy, confidentiality, role-based access, secure transmission, records management, incident escalation, and responsible use.</w:t>
      </w:r>
    </w:p>
    <w:p>
      <w:pPr>
        <w:pStyle w:val="ListBullet"/>
        <w:keepLines/>
      </w:pPr>
      <w:r>
        <w:t>Project coordination, customer service, adult learning, accessible communication, and support practices appropriate to assigned work.</w:t>
      </w:r>
    </w:p>
    <w:p>
      <w:pPr>
        <w:pStyle w:val="Heading2"/>
        <w:keepNext/>
      </w:pPr>
      <w:r>
        <w:t>Ability to</w:t>
      </w:r>
    </w:p>
    <w:p>
      <w:pPr>
        <w:pStyle w:val="ListBullet"/>
        <w:keepLines/>
      </w:pPr>
      <w:r>
        <w:t>Interpret detailed requirements and translate them into accurate procedures, system actions, reports, guidance, or decisions.</w:t>
      </w:r>
    </w:p>
    <w:p>
      <w:pPr>
        <w:pStyle w:val="ListBullet"/>
        <w:keepLines/>
      </w:pPr>
      <w:r>
        <w:t>Trace discrepancies through source records, processes, configurations, mappings, transformations, and outputs.</w:t>
      </w:r>
    </w:p>
    <w:p>
      <w:pPr>
        <w:pStyle w:val="ListBullet"/>
        <w:keepLines/>
      </w:pPr>
      <w:r>
        <w:t>Manage competing priorities and fixed deadlines with transparent status, documentation, review, and escalation.</w:t>
      </w:r>
    </w:p>
    <w:p>
      <w:pPr>
        <w:pStyle w:val="ListBullet"/>
        <w:keepLines/>
      </w:pPr>
      <w:r>
        <w:t>Communicate clearly with technical, program, school, leadership, family, vendor, or agency audiences as appropriate.</w:t>
      </w:r>
    </w:p>
    <w:p>
      <w:pPr>
        <w:pStyle w:val="ListBullet"/>
        <w:keepLines/>
      </w:pPr>
      <w:r>
        <w:t>Exercise discretion, preserve confidentiality, recognize limits of authority, and escalate material risk promptly.</w:t>
      </w:r>
    </w:p>
    <w:p>
      <w:pPr>
        <w:pStyle w:val="ListBullet"/>
        <w:keepLines/>
      </w:pPr>
      <w:r>
        <w:t>Learn evolving requirements and technologies and improve processes without weakening controls or continuity.</w:t>
      </w:r>
    </w:p>
    <w:p>
      <w:pPr>
        <w:pStyle w:val="Heading1"/>
        <w:keepNext/>
        <w:pBdr>
          <w:left w:val="single" w:sz="18" w:space="8" w:color="FDAB42"/>
        </w:pBdr>
      </w:pPr>
      <w:r>
        <w:t>Work Environment</w:t>
      </w:r>
    </w:p>
    <w:p>
      <w:pPr>
        <w:pStyle w:val="ListBullet"/>
        <w:keepLines/>
      </w:pPr>
      <w:r>
        <w:t>Work is performed throughout school buildings, grounds, parking and loading areas, events, and other district locations in indoor and outdoor conditions.</w:t>
      </w:r>
    </w:p>
    <w:p>
      <w:pPr>
        <w:pStyle w:val="ListBullet"/>
        <w:keepLines/>
      </w:pPr>
      <w:r>
        <w:t>The position requires frequent standing, walking, observation, radio communication, interaction with students and the public, and movement among assigned areas.</w:t>
      </w:r>
    </w:p>
    <w:p>
      <w:pPr>
        <w:pStyle w:val="ListBullet"/>
        <w:keepLines/>
      </w:pPr>
      <w:r>
        <w:t>The employee may encounter noise, weather, crowds, traffic, emotionally charged interactions, medical needs, hazards, and urgent or rapidly changing incidents.</w:t>
      </w:r>
    </w:p>
    <w:p>
      <w:pPr>
        <w:pStyle w:val="ListBullet"/>
        <w:keepLines/>
      </w:pPr>
      <w:r>
        <w:t>Work may include variable schedules, split shifts, evenings, weekends, athletic or community events, and emergency call-in as locally assigned.</w:t>
      </w:r>
    </w:p>
    <w:p>
      <w:pPr>
        <w:pStyle w:val="ListBullet"/>
        <w:keepLines/>
      </w:pPr>
      <w:r>
        <w:t>The position requires accurate use of radios, visitor and access systems, digital incident reports, safety equipment, and other assigned tools.</w:t>
      </w:r>
    </w:p>
    <w:p>
      <w:pPr>
        <w:pStyle w:val="ListBullet"/>
        <w:keepLines/>
      </w:pPr>
      <w:r>
        <w:t>The employee must protect student, family, visitor, staff, medical, disability, access, video, and incident information and work within clearly defined non-sworn authority.</w:t>
      </w:r>
    </w:p>
    <w:p>
      <w:pPr>
        <w:pStyle w:val="ListBullet"/>
        <w:keepLines/>
      </w:pPr>
      <w:r>
        <w:t>The employee may need to move quickly, climb stairs, remain outdoors, and assist with emergency movement or equipment within locally adopted essential-function and accommodation requirements.</w:t>
      </w:r>
    </w:p>
    <w:p>
      <w:pPr>
        <w:pStyle w:val="Heading1"/>
        <w:keepNext/>
        <w:pBdr>
          <w:left w:val="single" w:sz="18" w:space="8" w:color="FDAB42"/>
        </w:pBdr>
      </w:pPr>
      <w:r>
        <w:t>Other Requirements</w:t>
      </w:r>
    </w:p>
    <w:p>
      <w:pPr>
        <w:pStyle w:val="ListBullet"/>
        <w:keepLines/>
      </w:pPr>
      <w:r>
        <w:t>Successfully complete required criminal-record, fingerprint, and employment clearances.</w:t>
      </w:r>
    </w:p>
    <w:p>
      <w:pPr>
        <w:pStyle w:val="ListBullet"/>
        <w:keepLines/>
      </w:pPr>
      <w:r>
        <w:t>Complete a tuberculosis risk assessment and any examination required by applicable law or district policy.</w:t>
      </w:r>
    </w:p>
    <w:p>
      <w:pPr>
        <w:pStyle w:val="ListBullet"/>
        <w:keepLines/>
      </w:pPr>
      <w:r>
        <w:t>Complete annual mandated-reporter training and fulfill all legally applicable reporting responsibilities.</w:t>
      </w:r>
    </w:p>
    <w:p>
      <w:pPr>
        <w:pStyle w:val="ListBullet"/>
        <w:keepLines/>
      </w:pPr>
      <w:r>
        <w:t>Complete district-required cybersecurity, student-privacy, safety, nondiscrimination, records, and workplace training.</w:t>
      </w:r>
    </w:p>
    <w:p>
      <w:pPr>
        <w:pStyle w:val="ListBullet"/>
        <w:keepLines/>
      </w:pPr>
      <w:r>
        <w:t>Maintain professional confidentiality and comply with district policies governing records, information security, acceptable technology use, and data access.</w:t>
      </w:r>
    </w:p>
    <w:p>
      <w:pPr>
        <w:pStyle w:val="ListBullet"/>
        <w:keepLines/>
      </w:pPr>
      <w:r>
        <w:t>Travel between district offices, schools, service locations, meetings, and professional-development activities as assigned.</w:t>
      </w:r>
    </w:p>
    <w:p>
      <w:pPr>
        <w:pStyle w:val="ListBullet"/>
        <w:keepLines/>
      </w:pPr>
      <w:r>
        <w:t>Possess a valid California driver’s license and maintain insurability when driving is an essential function of the position.</w:t>
      </w:r>
    </w:p>
    <w:p>
      <w:pPr>
        <w:pStyle w:val="ListBullet"/>
        <w:keepLines/>
      </w:pPr>
      <w:r>
        <w:t>Occasionally work early-morning, evening, weekend, or extended hours during critical operational, reporting, testing, implementation, or incident periods.</w:t>
      </w:r>
    </w:p>
    <w:p>
      <w:pPr>
        <w:pStyle w:val="ListBullet"/>
        <w:keepLines/>
      </w:pPr>
      <w:r>
        <w:t>Regularly sit, stand, walk, speak, hear, read, and operate computers and standard office equipment.</w:t>
      </w:r>
    </w:p>
    <w:p>
      <w:pPr>
        <w:pStyle w:val="ListBullet"/>
        <w:keepLines/>
      </w:pPr>
      <w:r>
        <w:t>Use hands and fingers for keyboarding and handling documents; maintain visual attention while reviewing detailed records and computer displays.</w:t>
      </w:r>
    </w:p>
    <w:p>
      <w:pPr>
        <w:pStyle w:val="ListBullet"/>
        <w:keepLines/>
      </w:pPr>
      <w:r>
        <w:t>Occasionally lift, carry, or move records, devices, equipment, or supplies weighing up to 25 pounds.</w:t>
      </w:r>
    </w:p>
    <w:p>
      <w:pPr>
        <w:pStyle w:val="ListBullet"/>
        <w:keepLines/>
      </w:pPr>
      <w:r>
        <w:t>Perform the essential functions of the position with or without reasonable accommodation.</w:t>
      </w:r>
    </w:p>
    <w:p>
      <w:pPr>
        <w:pStyle w:val="Heading1"/>
        <w:keepNext/>
        <w:pBdr>
          <w:left w:val="single" w:sz="18" w:space="8" w:color="FDAB42"/>
        </w:pBdr>
      </w:pPr>
      <w:r>
        <w:t>Document Control and Local Adoption</w:t>
      </w:r>
    </w:p>
    <w:tbl>
      <w:tblPr>
        <w:tblStyle w:val="TableGrid"/>
        <w:tblW w:type="dxa" w:w="9360"/>
        <w:jc w:val="left"/>
        <w:tblLayout w:type="fixed"/>
        <w:tblLook w:firstColumn="1" w:firstRow="1" w:lastColumn="0" w:lastRow="0" w:noHBand="0" w:noVBand="1" w:val="04A0"/>
        <w:tblInd w:w="0" w:type="dxa"/>
      </w:tblPr>
      <w:tblGrid>
        <w:gridCol w:w="2520"/>
        <w:gridCol w:w="6840"/>
      </w:tblGrid>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Board Approval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Effective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Last Revision Date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Human Resources Review Date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date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Job Description Number</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number</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Salary Schedule Reference</w:t>
            </w:r>
          </w:p>
        </w:tc>
        <w:tc>
          <w:tcPr>
            <w:tcW w:type="dxa" w:w="6840"/>
            <w:shd w:fill="F9FBFC"/>
            <w:tcMar>
              <w:top w:w="110" w:type="dxa"/>
              <w:start w:w="140" w:type="dxa"/>
              <w:bottom w:w="110" w:type="dxa"/>
              <w:end w:w="140" w:type="dxa"/>
            </w:tcMar>
            <w:vAlign w:val="center"/>
          </w:tcPr>
          <w:p>
            <w:pPr>
              <w:spacing w:after="0"/>
              <w:keepNext/>
            </w:pPr>
            <w:r>
              <w:rPr>
                <w:rFonts w:ascii="Aptos" w:hAnsi="Aptos"/>
                <w:color w:val="26383F"/>
                <w:sz w:val="18"/>
              </w:rPr>
              <w:t>Insert schedule</w:t>
            </w:r>
          </w:p>
        </w:tc>
      </w:tr>
      <w:tr>
        <w:tc>
          <w:tcPr>
            <w:tcW w:type="dxa" w:w="2520"/>
            <w:shd w:fill="EAF3F7"/>
            <w:tcMar>
              <w:top w:w="110" w:type="dxa"/>
              <w:start w:w="140" w:type="dxa"/>
              <w:bottom w:w="110" w:type="dxa"/>
              <w:end w:w="140" w:type="dxa"/>
            </w:tcMar>
            <w:vAlign w:val="center"/>
          </w:tcPr>
          <w:p>
            <w:pPr>
              <w:spacing w:after="0"/>
              <w:keepNext/>
            </w:pPr>
            <w:r>
              <w:rPr>
                <w:rFonts w:ascii="Aptos" w:hAnsi="Aptos"/>
                <w:b/>
                <w:color w:val="315F74"/>
                <w:sz w:val="18"/>
              </w:rPr>
              <w:t>Governing Policy Reference</w:t>
            </w:r>
          </w:p>
        </w:tc>
        <w:tc>
          <w:tcPr>
            <w:tcW w:type="dxa" w:w="6840"/>
            <w:shd w:fill="FFFFFF"/>
            <w:tcMar>
              <w:top w:w="110" w:type="dxa"/>
              <w:start w:w="140" w:type="dxa"/>
              <w:bottom w:w="110" w:type="dxa"/>
              <w:end w:w="140" w:type="dxa"/>
            </w:tcMar>
            <w:vAlign w:val="center"/>
          </w:tcPr>
          <w:p>
            <w:pPr>
              <w:spacing w:after="0"/>
              <w:keepNext/>
            </w:pPr>
            <w:r>
              <w:rPr>
                <w:rFonts w:ascii="Aptos" w:hAnsi="Aptos"/>
                <w:color w:val="26383F"/>
                <w:sz w:val="18"/>
              </w:rPr>
              <w:t>Insert applicable policy</w:t>
            </w:r>
          </w:p>
        </w:tc>
      </w:tr>
      <w:tr>
        <w:tc>
          <w:tcPr>
            <w:tcW w:type="dxa" w:w="2520"/>
            <w:shd w:fill="EAF3F7"/>
            <w:tcMar>
              <w:top w:w="110" w:type="dxa"/>
              <w:start w:w="140" w:type="dxa"/>
              <w:bottom w:w="110" w:type="dxa"/>
              <w:end w:w="140" w:type="dxa"/>
            </w:tcMar>
            <w:vAlign w:val="center"/>
          </w:tcPr>
          <w:p>
            <w:pPr>
              <w:spacing w:after="0"/>
            </w:pPr>
            <w:r>
              <w:rPr>
                <w:rFonts w:ascii="Aptos" w:hAnsi="Aptos"/>
                <w:b/>
                <w:color w:val="315F74"/>
                <w:sz w:val="18"/>
              </w:rPr>
              <w:t>Collective Bargaining Reference</w:t>
            </w:r>
          </w:p>
        </w:tc>
        <w:tc>
          <w:tcPr>
            <w:tcW w:type="dxa" w:w="6840"/>
            <w:shd w:fill="F9FBFC"/>
            <w:tcMar>
              <w:top w:w="110" w:type="dxa"/>
              <w:start w:w="140" w:type="dxa"/>
              <w:bottom w:w="110" w:type="dxa"/>
              <w:end w:w="140" w:type="dxa"/>
            </w:tcMar>
            <w:vAlign w:val="center"/>
          </w:tcPr>
          <w:p>
            <w:pPr>
              <w:spacing w:after="0"/>
            </w:pPr>
            <w:r>
              <w:rPr>
                <w:rFonts w:ascii="Aptos" w:hAnsi="Aptos"/>
                <w:color w:val="26383F"/>
                <w:sz w:val="18"/>
              </w:rPr>
              <w:t>Insert if applicable</w:t>
            </w:r>
          </w:p>
        </w:tc>
      </w:tr>
    </w:tbl>
    <w:p>
      <w:pPr>
        <w:keepLines/>
        <w:spacing w:before="120" w:after="160"/>
        <w:ind w:left="230" w:right="115"/>
        <w:pBdr>
          <w:left w:val="single" w:sz="18" w:space="8" w:color="FDAB42"/>
        </w:pBdr>
        <w:shd w:fill="F4F5F6"/>
      </w:pPr>
      <w:r>
        <w:rPr>
          <w:rFonts w:ascii="Aptos" w:hAnsi="Aptos"/>
          <w:b/>
          <w:color w:val="315F74"/>
          <w:sz w:val="19"/>
        </w:rPr>
        <w:t xml:space="preserve">LOCAL ADAPTATION REQUIRED. This description identifies the general nature and principal responsibilities of the position. The employing district should identify the position's actual essential functions and revise all requirements to reflect its operations, board policies, collective bargaining agreements, and applicable laws. Local human-resources and legal review is recommended before formal adoption.</w:t>
      </w:r>
      <w:r>
        <w:rPr>
          <w:rFonts w:ascii="Aptos" w:hAnsi="Aptos"/>
          <w:color w:val="66747A"/>
          <w:sz w:val="19"/>
        </w:rPr>
        <w:t/>
      </w:r>
    </w:p>
    <w:p>
      <w:pPr>
        <w:keepLines/>
        <w:spacing w:before="120" w:after="160"/>
        <w:ind w:left="230" w:right="115"/>
        <w:pBdr>
          <w:left w:val="single" w:sz="18" w:space="8" w:color="315F74"/>
        </w:pBdr>
        <w:shd w:fill="EAF3F7"/>
      </w:pPr>
      <w:r>
        <w:rPr>
          <w:rFonts w:ascii="Aptos" w:hAnsi="Aptos"/>
          <w:b/>
          <w:color w:val="315F74"/>
          <w:sz w:val="19"/>
        </w:rPr>
        <w:t xml:space="preserve">SDLA EXEMPLAR AND USE NOTICE. This exemplar Campus Safety Officer job description is provided as a free resource for school districts by the School Data Leadership Association. It is an educational reference template, not an employment announcement or recruitment by SDLA. It is intended as a customizable starting point and does not constitute legal, human-resources, employment, or regulatory advice. SDLA makes no representations regarding its accuracy, completeness, currency, or suitability for a particular organization, position, or jurisdiction. School districts are welcome to use and adapt it.</w:t>
      </w:r>
      <w:r>
        <w:rPr>
          <w:rFonts w:ascii="Aptos" w:hAnsi="Aptos"/>
          <w:color w:val="66747A"/>
          <w:sz w:val="19"/>
        </w:rPr>
        <w:t/>
      </w:r>
    </w:p>
    <w:sectPr w:rsidR="00C7230F" w:rsidSect="00034616">
      <w:headerReference w:type="default" r:id="rId8"/>
      <w:footerReference w:type="default" r:id="rId9"/>
      <w:headerReference w:type="even" r:id="rId12"/>
      <w:footerReference w:type="even" r:id="rId13"/>
      <w:pgSz w:w="12240" w:h="15840"/>
      <w:pgMar w:top="1123" w:right="1296" w:bottom="1123" w:left="1296"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C6A1A43" w14:textId="77777777" w:rsidR="00A91A23" w:rsidRDefault="00A91A23">
      <w:pPr>
        <w:spacing w:after="0" w:line="240" w:lineRule="auto"/>
      </w:pPr>
      <w:r>
        <w:separator/>
      </w:r>
    </w:p>
  </w:endnote>
  <w:endnote w:type="continuationSeparator" w:id="0">
    <w:p w14:paraId="4DE04C61" w14:textId="77777777" w:rsidR="00A91A23" w:rsidRDefault="00A91A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1F965A5" w14:textId="77777777" w:rsidR="00C7230F" w:rsidRDefault="00000000">
    <w:pPr>
      <w:pStyle w:val="Footer"/>
      <w:spacing w:before="0"/>
      <w:jc w:val="center"/>
    </w:pPr>
    <w:r>
      <w:rPr>
        <w:rFonts w:ascii="Aptos" w:hAnsi="Aptos"/>
        <w:color w:val="66747A"/>
        <w:sz w:val="16"/>
      </w:rPr>
      <w:t>Reference resource - not a job posting  |  schooldataleadership.org</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66747A"/>
        <w:sz w:val="16"/>
      </w:rPr>
      <w:t>Reference resource - not a job posting  |  schooldataleadership.org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BC6EB3B" w14:textId="77777777" w:rsidR="00A91A23" w:rsidRDefault="00A91A23">
      <w:pPr>
        <w:spacing w:after="0" w:line="240" w:lineRule="auto"/>
      </w:pPr>
      <w:r>
        <w:separator/>
      </w:r>
    </w:p>
  </w:footnote>
  <w:footnote w:type="continuationSeparator" w:id="0">
    <w:p w14:paraId="7FF97964" w14:textId="77777777" w:rsidR="00A91A23" w:rsidRDefault="00A91A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2F902A1" w14:textId="77777777" w:rsidR="00C7230F" w:rsidRDefault="00000000">
    <w:pPr>
      <w:pStyle w:val="Header"/>
      <w:spacing w:after="0"/>
      <w:jc w:val="right"/>
    </w:pPr>
    <w:r>
      <w:rPr>
        <w:rFonts w:ascii="Aptos" w:hAnsi="Aptos"/>
        <w:b/>
        <w:color w:val="66747A"/>
        <w:sz w:val="17"/>
      </w:rPr>
      <w:t>SCHOOL DATA LEADERSHIP ASSOCIATION  |  EXAMPLE JOB DESCRIPTION</w: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b/>
        <w:color w:val="66747A"/>
        <w:sz w:val="17"/>
      </w:rPr>
      <w:t>SCHOOL DATA LEADERSHIP ASSOCIATION  |  EXAMPLE JOB DESCRIPTION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42109458">
    <w:abstractNumId w:val="8"/>
  </w:num>
  <w:num w:numId="2" w16cid:durableId="1224675748">
    <w:abstractNumId w:val="6"/>
  </w:num>
  <w:num w:numId="3" w16cid:durableId="1091858067">
    <w:abstractNumId w:val="5"/>
  </w:num>
  <w:num w:numId="4" w16cid:durableId="633681223">
    <w:abstractNumId w:val="4"/>
  </w:num>
  <w:num w:numId="5" w16cid:durableId="1070032234">
    <w:abstractNumId w:val="7"/>
  </w:num>
  <w:num w:numId="6" w16cid:durableId="1834876961">
    <w:abstractNumId w:val="3"/>
  </w:num>
  <w:num w:numId="7" w16cid:durableId="107553760">
    <w:abstractNumId w:val="2"/>
  </w:num>
  <w:num w:numId="8" w16cid:durableId="941649264">
    <w:abstractNumId w:val="1"/>
  </w:num>
  <w:num w:numId="9" w16cid:durableId="102479284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1"/>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4DE1"/>
    <w:rsid w:val="00034616"/>
    <w:rsid w:val="0006063C"/>
    <w:rsid w:val="0015074B"/>
    <w:rsid w:val="0029639D"/>
    <w:rsid w:val="00326F90"/>
    <w:rsid w:val="008271F0"/>
    <w:rsid w:val="00A91A23"/>
    <w:rsid w:val="00AA1D8D"/>
    <w:rsid w:val="00B47730"/>
    <w:rsid w:val="00BB56FD"/>
    <w:rsid w:val="00C7230F"/>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306BF"/>
  <w14:defaultImageDpi w14:val="300"/>
  <w15:docId w15:val="{0B011544-D1D3-5142-AEDD-E4317B6AA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Aptos" w:hAnsi="Aptos"/>
      <w:color w:val="26383F"/>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ptos Display" w:hAnsi="Aptos Display"/>
      <w:b/>
      <w:bCs/>
      <w:color w:val="315F74"/>
      <w:sz w:val="32"/>
      <w:szCs w:val="28"/>
    </w:rPr>
  </w:style>
  <w:style w:type="paragraph" w:styleId="Heading2">
    <w:name w:val="heading 2"/>
    <w:basedOn w:val="Normal"/>
    <w:next w:val="Normal"/>
    <w:link w:val="Heading2Char"/>
    <w:uiPriority w:val="9"/>
    <w:unhideWhenUsed/>
    <w:qFormat/>
    <w:rsid w:val="00FC693F"/>
    <w:pPr>
      <w:keepNext/>
      <w:keepLines/>
      <w:spacing w:before="220" w:after="100"/>
      <w:outlineLvl w:val="1"/>
    </w:pPr>
    <w:rPr>
      <w:rFonts w:asciiTheme="majorHAnsi" w:eastAsiaTheme="majorEastAsia" w:hAnsiTheme="majorHAnsi" w:cstheme="majorBidi" w:ascii="Aptos Display" w:hAnsi="Aptos Display"/>
      <w:b/>
      <w:bCs/>
      <w:color w:val="315F74"/>
      <w:sz w:val="24"/>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b/>
      <w:bCs/>
      <w:color w:val="244A5C"/>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line="254" w:lineRule="auto"/>
      <w:ind w:left="490" w:hanging="259"/>
      <w:contextualSpacing/>
    </w:pPr>
    <w:rPr>
      <w:rFonts w:ascii="Aptos" w:hAnsi="Aptos"/>
      <w:color w:val="26383F"/>
      <w:sz w:val="20"/>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2" Type="http://schemas.openxmlformats.org/officeDocument/2006/relationships/header" Target="header2.xml"/><Relationship Id="rId13"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1667</Words>
  <Characters>9504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Example Job Description - Assessment Coordinator</dc:title>
  <dc:subject>Customizable school district Assessment Coordinator job description</dc:subject>
  <dc:creator>School Data Leadership Association</dc:creator>
  <cp:keywords>Assessment Coordinator, example job description, certificated management, SDLA</cp:keywords>
  <dc:description>Reference resource; not a job posting. Review and adapt locally before adoption.</dc:description>
  <cp:lastModifiedBy>Chris Moggia</cp:lastModifiedBy>
  <cp:revision>2</cp:revision>
  <dcterms:created xsi:type="dcterms:W3CDTF">2026-08-15T21:45:00Z</dcterms:created>
  <dcterms:modified xsi:type="dcterms:W3CDTF">2026-08-15T21:45:00Z</dcterms:modified>
  <cp:category/>
</cp:coreProperties>
</file>