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pPr>
      <w:r>
        <w:rPr>
          <w:rFonts w:ascii="Aptos" w:hAnsi="Aptos"/>
          <w:b/>
          <w:i w:val="0"/>
          <w:color w:val="315F74"/>
          <w:sz w:val="18"/>
        </w:rPr>
        <w:t>SDLA PROFESSIONAL JOB DESCRIPTION</w:t>
      </w:r>
    </w:p>
    <w:p>
      <w:pPr>
        <w:spacing w:after="60"/>
      </w:pPr>
      <w:r>
        <w:rPr>
          <w:rFonts w:ascii="Aptos" w:hAnsi="Aptos"/>
          <w:b/>
          <w:i w:val="0"/>
          <w:color w:val="244A5C"/>
          <w:sz w:val="50"/>
        </w:rPr>
        <w:t>Accountability Coordinator</w:t>
      </w:r>
    </w:p>
    <w:p>
      <w:pPr>
        <w:spacing w:after="260"/>
      </w:pPr>
      <w:r>
        <w:rPr>
          <w:rFonts w:ascii="Aptos" w:hAnsi="Aptos"/>
          <w:b/>
          <w:i w:val="0"/>
          <w:color w:val="5D6C72"/>
          <w:sz w:val="21"/>
        </w:rPr>
        <w:t>Educational Services - Assessment, Accountability, and Continuous Improvement</w:t>
      </w:r>
    </w:p>
    <w:p>
      <w:pPr>
        <w:spacing w:before="40" w:after="300"/>
        <w:ind w:left="187" w:right="187"/>
        <w:shd w:fill="EEF6FA"/>
        <w:pBdr>
          <w:left w:val="single" w:sz="18" w:space="8" w:color="315F74"/>
        </w:pBdr>
      </w:pPr>
      <w:r>
        <w:rPr>
          <w:rFonts w:ascii="Aptos" w:hAnsi="Aptos"/>
          <w:b w:val="0"/>
          <w:i w:val="0"/>
          <w:color w:val="26383F"/>
          <w:sz w:val="22"/>
        </w:rPr>
        <w:t>The Accountability Coordinator provides districtwide leadership for assessment administration, accountability reporting, data quality, and the responsible use of results to support continuous improvement. The position coordinates state and local assessment programs; verifies data used in public reporting and accountability measures; translates complex requirements into practical calendars, procedures, training, and decision-ready information; and connects school sites, program offices, student information systems, special education, multilingual education, technology teams, and executive leadership.</w:t>
      </w:r>
    </w:p>
    <w:p>
      <w:pPr>
        <w:pStyle w:val="Heading1"/>
        <w:spacing w:before="260" w:after="140"/>
        <w:pBdr>
          <w:left w:val="single" w:sz="24" w:space="8" w:color="FDAD43"/>
        </w:pBdr>
      </w:pPr>
      <w:r>
        <w:rPr>
          <w:rFonts w:ascii="Aptos" w:hAnsi="Aptos"/>
          <w:b/>
          <w:i w:val="0"/>
          <w:color w:val="244A5C"/>
          <w:sz w:val="32"/>
        </w:rPr>
        <w:t>Essential Duties and Responsibilities</w:t>
      </w:r>
    </w:p>
    <w:p>
      <w:pPr>
        <w:pStyle w:val="ListBullet"/>
        <w:keepLines/>
      </w:pPr>
      <w:r>
        <w:rPr>
          <w:rFonts w:ascii="Aptos" w:hAnsi="Aptos"/>
          <w:b w:val="0"/>
          <w:i w:val="0"/>
          <w:color w:val="26383F"/>
          <w:sz w:val="21"/>
        </w:rPr>
        <w:t>Coordinate districtwide implementation of required state assessments and locally adopted assessment programs, including annual planning, site readiness, schedules, staffing, training, communications, materials, technology dependencies, make-up testing, and closeout activities.</w:t>
      </w:r>
    </w:p>
    <w:p>
      <w:pPr>
        <w:pStyle w:val="ListBullet"/>
        <w:keepLines/>
      </w:pPr>
      <w:r>
        <w:rPr>
          <w:rFonts w:ascii="Aptos" w:hAnsi="Aptos"/>
          <w:b w:val="0"/>
          <w:i w:val="0"/>
          <w:color w:val="26383F"/>
          <w:sz w:val="21"/>
        </w:rPr>
        <w:t>Maintain an integrated assessment and accountability calendar identifying submissions, testing windows, public releases, local indicator deadlines, governing-board actions, training events, and responsible owners.</w:t>
      </w:r>
    </w:p>
    <w:p>
      <w:pPr>
        <w:pStyle w:val="ListBullet"/>
        <w:keepLines/>
      </w:pPr>
      <w:r>
        <w:rPr>
          <w:rFonts w:ascii="Aptos" w:hAnsi="Aptos"/>
          <w:b w:val="0"/>
          <w:i w:val="0"/>
          <w:color w:val="26383F"/>
          <w:sz w:val="21"/>
        </w:rPr>
        <w:t>Select, train, and support site test coordinators, test administrators, proctors, principals, counselors, teachers, and designated support staff using current manuals, role-specific procedures, and documented completion records.</w:t>
      </w:r>
    </w:p>
    <w:p>
      <w:pPr>
        <w:pStyle w:val="ListBullet"/>
        <w:keepLines/>
      </w:pPr>
      <w:r>
        <w:rPr>
          <w:rFonts w:ascii="Aptos" w:hAnsi="Aptos"/>
          <w:b w:val="0"/>
          <w:i w:val="0"/>
          <w:color w:val="26383F"/>
          <w:sz w:val="21"/>
        </w:rPr>
        <w:t>Coordinate accurate student demographic, enrollment, program, language, disability, accommodation, and test-registration information across the student information system (SIS), CALPADS, special education systems, and assessment platforms.</w:t>
      </w:r>
    </w:p>
    <w:p>
      <w:pPr>
        <w:pStyle w:val="ListBullet"/>
        <w:keepLines/>
      </w:pPr>
      <w:r>
        <w:rPr>
          <w:rFonts w:ascii="Aptos" w:hAnsi="Aptos"/>
          <w:b w:val="0"/>
          <w:i w:val="0"/>
          <w:color w:val="26383F"/>
          <w:sz w:val="21"/>
        </w:rPr>
        <w:t>Develop validation routines, exception reports, reconciliation procedures, and correction workflows so errors are resolved before they affect testing, score reporting, public accountability measures, funding decisions, or student services.</w:t>
      </w:r>
    </w:p>
    <w:p>
      <w:pPr>
        <w:pStyle w:val="ListBullet"/>
        <w:keepLines/>
      </w:pPr>
      <w:r>
        <w:rPr>
          <w:rFonts w:ascii="Aptos" w:hAnsi="Aptos"/>
          <w:b w:val="0"/>
          <w:i w:val="0"/>
          <w:color w:val="26383F"/>
          <w:sz w:val="21"/>
        </w:rPr>
        <w:t>Prepare concise reports, presentations, dashboards, and briefings for district leaders, school teams, governing boards, families, and community partners while explaining appropriate interpretation, limitations, and context.</w:t>
      </w:r>
    </w:p>
    <w:p>
      <w:pPr>
        <w:pStyle w:val="ListBullet"/>
        <w:keepLines/>
      </w:pPr>
      <w:r>
        <w:rPr>
          <w:rFonts w:ascii="Aptos" w:hAnsi="Aptos"/>
          <w:b w:val="0"/>
          <w:i w:val="0"/>
          <w:color w:val="26383F"/>
          <w:sz w:val="21"/>
        </w:rPr>
        <w:t>Monitor legislation, regulations, California Department of Education guidance, vendor releases, manuals, and security advisories; assess operational impact and communicate required changes promptly.</w:t>
      </w:r>
    </w:p>
    <w:p>
      <w:pPr>
        <w:pStyle w:val="ListBullet"/>
        <w:keepLines/>
      </w:pPr>
      <w:r>
        <w:rPr>
          <w:rFonts w:ascii="Aptos" w:hAnsi="Aptos"/>
          <w:b w:val="0"/>
          <w:i w:val="0"/>
          <w:color w:val="26383F"/>
          <w:sz w:val="21"/>
        </w:rPr>
        <w:t>Facilitate cross-functional problem solving among curriculum and instruction, multilingual education, special education, student services, technology, school sites, data teams, and vendors.</w:t>
      </w:r>
    </w:p>
    <w:p>
      <w:pPr>
        <w:pStyle w:val="ListBullet"/>
        <w:keepLines/>
      </w:pPr>
      <w:r>
        <w:rPr>
          <w:rFonts w:ascii="Aptos" w:hAnsi="Aptos"/>
          <w:b w:val="0"/>
          <w:i w:val="0"/>
          <w:color w:val="26383F"/>
          <w:sz w:val="21"/>
        </w:rPr>
        <w:t>Support improvement planning by helping teams connect assessment and accountability evidence with local context, implementation information, student-group experience, and other qualitative and quantitative evidence.</w:t>
      </w:r>
    </w:p>
    <w:p>
      <w:pPr>
        <w:pStyle w:val="ListBullet"/>
        <w:keepLines/>
      </w:pPr>
      <w:r>
        <w:rPr>
          <w:rFonts w:ascii="Aptos" w:hAnsi="Aptos"/>
          <w:b w:val="0"/>
          <w:i w:val="0"/>
          <w:color w:val="26383F"/>
          <w:sz w:val="21"/>
        </w:rPr>
        <w:t>Maintain procedures, process maps, training resources, decision logs, data definitions, report inventories, and continuity documentation sufficient for consistent implementation and succession planning.</w:t>
      </w:r>
    </w:p>
    <w:p>
      <w:pPr>
        <w:pStyle w:val="ListBullet"/>
        <w:keepLines/>
      </w:pPr>
      <w:r>
        <w:rPr>
          <w:rFonts w:ascii="Aptos" w:hAnsi="Aptos"/>
          <w:b w:val="0"/>
          <w:i w:val="0"/>
          <w:color w:val="26383F"/>
          <w:sz w:val="21"/>
        </w:rPr>
        <w:t>Respond to inquiries and audit requests; preserve required evidence and coordinate timely corrections, certifications, approvals, and follow-up actions.</w:t>
      </w:r>
    </w:p>
    <w:p>
      <w:pPr>
        <w:pStyle w:val="ListBullet"/>
        <w:keepLines/>
      </w:pPr>
      <w:r>
        <w:rPr>
          <w:rFonts w:ascii="Aptos" w:hAnsi="Aptos"/>
          <w:b w:val="0"/>
          <w:i w:val="0"/>
          <w:color w:val="26383F"/>
          <w:sz w:val="21"/>
        </w:rPr>
        <w:t>Perform other related duties consistent with the scope and level of the position.</w:t>
      </w:r>
    </w:p>
    <w:p>
      <w:pPr>
        <w:pStyle w:val="Heading1"/>
        <w:spacing w:before="260" w:after="140"/>
        <w:pBdr>
          <w:left w:val="single" w:sz="24" w:space="8" w:color="B493C5"/>
        </w:pBdr>
      </w:pPr>
      <w:r>
        <w:rPr>
          <w:rFonts w:ascii="Aptos" w:hAnsi="Aptos"/>
          <w:b/>
          <w:i w:val="0"/>
          <w:color w:val="244A5C"/>
          <w:sz w:val="32"/>
        </w:rPr>
        <w:t>Assessment Administration, Accessibility, and Security</w:t>
      </w:r>
    </w:p>
    <w:p>
      <w:pPr>
        <w:pStyle w:val="ListBullet"/>
        <w:keepLines/>
      </w:pPr>
      <w:r>
        <w:rPr>
          <w:rFonts w:ascii="Aptos" w:hAnsi="Aptos"/>
          <w:b w:val="0"/>
          <w:i w:val="0"/>
          <w:color w:val="26383F"/>
          <w:sz w:val="21"/>
        </w:rPr>
        <w:t>Coordinate California Assessment of Student Performance and Progress (CAASPP), English Language Proficiency Assessments for California (ELPAC), California Alternate Assessments, Smarter Balanced interim assessments, and other assigned state or local programs.</w:t>
      </w:r>
    </w:p>
    <w:p>
      <w:pPr>
        <w:pStyle w:val="ListBullet"/>
        <w:keepLines/>
      </w:pPr>
      <w:r>
        <w:rPr>
          <w:rFonts w:ascii="Aptos" w:hAnsi="Aptos"/>
          <w:b w:val="0"/>
          <w:i w:val="0"/>
          <w:color w:val="26383F"/>
          <w:sz w:val="21"/>
        </w:rPr>
        <w:t>Administer or coordinate Test Operations Management System (TOMS) activities, user roles, student test settings, test assignments, materials, irregularity reporting, score access, and required certifications in accordance with current guidance.</w:t>
      </w:r>
    </w:p>
    <w:p>
      <w:pPr>
        <w:pStyle w:val="ListBullet"/>
        <w:keepLines/>
      </w:pPr>
      <w:r>
        <w:rPr>
          <w:rFonts w:ascii="Aptos" w:hAnsi="Aptos"/>
          <w:b w:val="0"/>
          <w:i w:val="0"/>
          <w:color w:val="26383F"/>
          <w:sz w:val="21"/>
        </w:rPr>
        <w:t>Partner with individualized education program (IEP), Section 504, multilingual education, and site teams to support timely assignment and delivery of universal tools, designated supports, accommodations, and approved unlisted resources.</w:t>
      </w:r>
    </w:p>
    <w:p>
      <w:pPr>
        <w:pStyle w:val="ListBullet"/>
        <w:keepLines/>
      </w:pPr>
      <w:r>
        <w:rPr>
          <w:rFonts w:ascii="Aptos" w:hAnsi="Aptos"/>
          <w:b w:val="0"/>
          <w:i w:val="0"/>
          <w:color w:val="26383F"/>
          <w:sz w:val="21"/>
        </w:rPr>
        <w:t>Protect secure test content, credentials, personally identifiable information, printed materials, devices, and testing environments; document chain of custody and escalate irregularities or potential breaches immediately.</w:t>
      </w:r>
    </w:p>
    <w:p>
      <w:pPr>
        <w:pStyle w:val="ListBullet"/>
        <w:keepLines/>
      </w:pPr>
      <w:r>
        <w:rPr>
          <w:rFonts w:ascii="Aptos" w:hAnsi="Aptos"/>
          <w:b w:val="0"/>
          <w:i w:val="0"/>
          <w:color w:val="26383F"/>
          <w:sz w:val="21"/>
        </w:rPr>
        <w:t>Coordinate technology-readiness checks with information technology staff, including supported devices and browsers, network capacity, secure testing applications, identity access, peripheral equipment, and contingency plans.</w:t>
      </w:r>
    </w:p>
    <w:p>
      <w:pPr>
        <w:pStyle w:val="ListBullet"/>
        <w:keepLines/>
      </w:pPr>
      <w:r>
        <w:rPr>
          <w:rFonts w:ascii="Aptos" w:hAnsi="Aptos"/>
          <w:b w:val="0"/>
          <w:i w:val="0"/>
          <w:color w:val="26383F"/>
          <w:sz w:val="21"/>
        </w:rPr>
        <w:t>Monitor participation, completion, accessibility settings, invalidations, appeals, incidents, and operational risks during testing windows and provide targeted support without compromising test security.</w:t>
      </w:r>
    </w:p>
    <w:p>
      <w:pPr>
        <w:pStyle w:val="Heading1"/>
        <w:spacing w:before="260" w:after="140"/>
        <w:pBdr>
          <w:left w:val="single" w:sz="24" w:space="8" w:color="ADD444"/>
        </w:pBdr>
      </w:pPr>
      <w:r>
        <w:rPr>
          <w:rFonts w:ascii="Aptos" w:hAnsi="Aptos"/>
          <w:b/>
          <w:i w:val="0"/>
          <w:color w:val="244A5C"/>
          <w:sz w:val="32"/>
        </w:rPr>
        <w:t>Accountability Reporting and Continuous Improvement</w:t>
      </w:r>
    </w:p>
    <w:p>
      <w:pPr>
        <w:pStyle w:val="ListBullet"/>
        <w:keepLines/>
      </w:pPr>
      <w:r>
        <w:rPr>
          <w:rFonts w:ascii="Aptos" w:hAnsi="Aptos"/>
          <w:b w:val="0"/>
          <w:i w:val="0"/>
          <w:color w:val="26383F"/>
          <w:sz w:val="21"/>
        </w:rPr>
        <w:t>Coordinate review of California School Dashboard state and local indicators, DataQuest reports, assessment results, CALPADS-derived measures, and other public or internal accountability information.</w:t>
      </w:r>
    </w:p>
    <w:p>
      <w:pPr>
        <w:pStyle w:val="ListBullet"/>
        <w:keepLines/>
      </w:pPr>
      <w:r>
        <w:rPr>
          <w:rFonts w:ascii="Aptos" w:hAnsi="Aptos"/>
          <w:b w:val="0"/>
          <w:i w:val="0"/>
          <w:color w:val="26383F"/>
          <w:sz w:val="21"/>
        </w:rPr>
        <w:t>Validate source data, business rules, student-group membership, cohort and participation logic, reporting periods, and suppression rules before results are distributed or used for decisions.</w:t>
      </w:r>
    </w:p>
    <w:p>
      <w:pPr>
        <w:pStyle w:val="ListBullet"/>
        <w:keepLines/>
      </w:pPr>
      <w:r>
        <w:rPr>
          <w:rFonts w:ascii="Aptos" w:hAnsi="Aptos"/>
          <w:b w:val="0"/>
          <w:i w:val="0"/>
          <w:color w:val="26383F"/>
          <w:sz w:val="21"/>
        </w:rPr>
        <w:t>Explain measures such as academic performance, English learner progress, chronic absenteeism, suspension, graduation, college/career readiness, and local indicators using current definitions and appropriate cautions.</w:t>
      </w:r>
    </w:p>
    <w:p>
      <w:pPr>
        <w:pStyle w:val="ListBullet"/>
        <w:keepLines/>
      </w:pPr>
      <w:r>
        <w:rPr>
          <w:rFonts w:ascii="Aptos" w:hAnsi="Aptos"/>
          <w:b w:val="0"/>
          <w:i w:val="0"/>
          <w:color w:val="26383F"/>
          <w:sz w:val="21"/>
        </w:rPr>
        <w:t>Support Local Control and Accountability Plan (LCAP), school planning, differentiated assistance, program evaluation, and improvement-cycle activities by providing accurate data, reproducible analyses, and clear documentation.</w:t>
      </w:r>
    </w:p>
    <w:p>
      <w:pPr>
        <w:pStyle w:val="ListBullet"/>
        <w:keepLines/>
      </w:pPr>
      <w:r>
        <w:rPr>
          <w:rFonts w:ascii="Aptos" w:hAnsi="Aptos"/>
          <w:b w:val="0"/>
          <w:i w:val="0"/>
          <w:color w:val="26383F"/>
          <w:sz w:val="21"/>
        </w:rPr>
        <w:t>Facilitate data inquiry with school and district teams, emphasizing root causes, trends, implementation evidence, student-group variation, uncertainty, and responsible next steps rather than rankings or simplistic conclusions.</w:t>
      </w:r>
    </w:p>
    <w:p>
      <w:pPr>
        <w:pStyle w:val="ListBullet"/>
        <w:keepLines/>
      </w:pPr>
      <w:r>
        <w:rPr>
          <w:rFonts w:ascii="Aptos" w:hAnsi="Aptos"/>
          <w:b w:val="0"/>
          <w:i w:val="0"/>
          <w:color w:val="26383F"/>
          <w:sz w:val="21"/>
        </w:rPr>
        <w:t>Coordinate release communications and family-facing explanations that are accessible, plain-language, culturally responsive, and available in required formats and languages.</w:t>
      </w:r>
    </w:p>
    <w:p>
      <w:pPr>
        <w:pStyle w:val="Heading1"/>
        <w:spacing w:before="260" w:after="140"/>
        <w:pBdr>
          <w:left w:val="single" w:sz="24" w:space="8" w:color="315F74"/>
        </w:pBdr>
      </w:pPr>
      <w:r>
        <w:rPr>
          <w:rFonts w:ascii="Aptos" w:hAnsi="Aptos"/>
          <w:b/>
          <w:i w:val="0"/>
          <w:color w:val="244A5C"/>
          <w:sz w:val="32"/>
        </w:rPr>
        <w:t>Data Governance, Privacy, and Systems Coordination</w:t>
      </w:r>
    </w:p>
    <w:p>
      <w:pPr>
        <w:pStyle w:val="ListBullet"/>
        <w:keepLines/>
      </w:pPr>
      <w:r>
        <w:rPr>
          <w:rFonts w:ascii="Aptos" w:hAnsi="Aptos"/>
          <w:b w:val="0"/>
          <w:i w:val="0"/>
          <w:color w:val="26383F"/>
          <w:sz w:val="21"/>
        </w:rPr>
        <w:t>Apply district data-governance practices for ownership, stewardship, definitions, quality expectations, correction authority, lineage, retention, access, and approved use of assessment and accountability data.</w:t>
      </w:r>
    </w:p>
    <w:p>
      <w:pPr>
        <w:pStyle w:val="ListBullet"/>
        <w:keepLines/>
      </w:pPr>
      <w:r>
        <w:rPr>
          <w:rFonts w:ascii="Aptos" w:hAnsi="Aptos"/>
          <w:b w:val="0"/>
          <w:i w:val="0"/>
          <w:color w:val="26383F"/>
          <w:sz w:val="21"/>
        </w:rPr>
        <w:t>Protect student and employee information in accordance with FERPA, district policy, records requirements, minimum-necessary access, secure transmission, and approved data-sharing procedures.</w:t>
      </w:r>
    </w:p>
    <w:p>
      <w:pPr>
        <w:pStyle w:val="ListBullet"/>
        <w:keepLines/>
      </w:pPr>
      <w:r>
        <w:rPr>
          <w:rFonts w:ascii="Aptos" w:hAnsi="Aptos"/>
          <w:b w:val="0"/>
          <w:i w:val="0"/>
          <w:color w:val="26383F"/>
          <w:sz w:val="21"/>
        </w:rPr>
        <w:t>Maintain documentation showing how SIS, CALPADS, assessment, special education, multilingual education, learning, survey, and local benchmark systems contribute to reports and accountability measures.</w:t>
      </w:r>
    </w:p>
    <w:p>
      <w:pPr>
        <w:pStyle w:val="ListBullet"/>
        <w:keepLines/>
      </w:pPr>
      <w:r>
        <w:rPr>
          <w:rFonts w:ascii="Aptos" w:hAnsi="Aptos"/>
          <w:b w:val="0"/>
          <w:i w:val="0"/>
          <w:color w:val="26383F"/>
          <w:sz w:val="21"/>
        </w:rPr>
        <w:t>Coordinate role-based access, periodic access review, secure file exchange, vendor support, and incident escalation with privacy, cybersecurity, records, and technology personnel.</w:t>
      </w:r>
    </w:p>
    <w:p>
      <w:pPr>
        <w:pStyle w:val="ListBullet"/>
        <w:keepLines/>
      </w:pPr>
      <w:r>
        <w:rPr>
          <w:rFonts w:ascii="Aptos" w:hAnsi="Aptos"/>
          <w:b w:val="0"/>
          <w:i w:val="0"/>
          <w:color w:val="26383F"/>
          <w:sz w:val="21"/>
        </w:rPr>
        <w:t>Use supported reports, queries, spreadsheets, data visualization, SQL, APIs, or approved automation tools to improve repeatability and reduce fragile manual processes; ensure automated results remain reviewable and documented.</w:t>
      </w:r>
    </w:p>
    <w:p>
      <w:pPr>
        <w:pStyle w:val="ListBullet"/>
        <w:keepLines/>
      </w:pPr>
      <w:r>
        <w:rPr>
          <w:rFonts w:ascii="Aptos" w:hAnsi="Aptos"/>
          <w:b w:val="0"/>
          <w:i w:val="0"/>
          <w:color w:val="26383F"/>
          <w:sz w:val="21"/>
        </w:rPr>
        <w:t>Identify conflicting definitions, duplicate collection, undocumented spreadsheets, broken integrations, and recurring correction patterns; recommend governed and sustainable improvements.</w:t>
      </w:r>
    </w:p>
    <w:p>
      <w:pPr>
        <w:pStyle w:val="Heading1"/>
        <w:spacing w:before="260" w:after="140"/>
        <w:pBdr>
          <w:left w:val="single" w:sz="24" w:space="8" w:color="FDAD43"/>
        </w:pBdr>
      </w:pPr>
      <w:r>
        <w:rPr>
          <w:rFonts w:ascii="Aptos" w:hAnsi="Aptos"/>
          <w:b/>
          <w:i w:val="0"/>
          <w:color w:val="244A5C"/>
          <w:sz w:val="32"/>
        </w:rPr>
        <w:t>Knowledge and Skills</w:t>
      </w:r>
    </w:p>
    <w:p>
      <w:pPr>
        <w:pStyle w:val="ListBullet"/>
        <w:keepLines/>
      </w:pPr>
      <w:r>
        <w:rPr>
          <w:rFonts w:ascii="Aptos" w:hAnsi="Aptos"/>
          <w:b w:val="0"/>
          <w:i w:val="0"/>
          <w:color w:val="26383F"/>
          <w:sz w:val="21"/>
        </w:rPr>
        <w:t>California K-12 assessment and accountability programs, public reporting, testing cycles, school operations, and the relationships among instruction, student programs, data collection, and continuous improvement.</w:t>
      </w:r>
    </w:p>
    <w:p>
      <w:pPr>
        <w:pStyle w:val="ListBullet"/>
        <w:keepLines/>
      </w:pPr>
      <w:r>
        <w:rPr>
          <w:rFonts w:ascii="Aptos" w:hAnsi="Aptos"/>
          <w:b w:val="0"/>
          <w:i w:val="0"/>
          <w:color w:val="26383F"/>
          <w:sz w:val="21"/>
        </w:rPr>
        <w:t>Assessment administration, standardization, test security, accessibility resources, score reporting, participation requirements, and appropriate interpretation of aggregate and student-group results.</w:t>
      </w:r>
    </w:p>
    <w:p>
      <w:pPr>
        <w:pStyle w:val="ListBullet"/>
        <w:keepLines/>
      </w:pPr>
      <w:r>
        <w:rPr>
          <w:rFonts w:ascii="Aptos" w:hAnsi="Aptos"/>
          <w:b w:val="0"/>
          <w:i w:val="0"/>
          <w:color w:val="26383F"/>
          <w:sz w:val="21"/>
        </w:rPr>
        <w:t>Student information systems, CALPADS, TOMS, California School Dashboard, DataQuest, local assessment platforms, special education systems, and common data exchanges used by school districts.</w:t>
      </w:r>
    </w:p>
    <w:p>
      <w:pPr>
        <w:pStyle w:val="ListBullet"/>
        <w:keepLines/>
      </w:pPr>
      <w:r>
        <w:rPr>
          <w:rFonts w:ascii="Aptos" w:hAnsi="Aptos"/>
          <w:b w:val="0"/>
          <w:i w:val="0"/>
          <w:color w:val="26383F"/>
          <w:sz w:val="21"/>
        </w:rPr>
        <w:t>Data-quality methods addressing completeness, validity, consistency, timeliness, uniqueness, and accuracy; ability to investigate discrepancies from source records through published results.</w:t>
      </w:r>
    </w:p>
    <w:p>
      <w:pPr>
        <w:pStyle w:val="ListBullet"/>
        <w:keepLines/>
      </w:pPr>
      <w:r>
        <w:rPr>
          <w:rFonts w:ascii="Aptos" w:hAnsi="Aptos"/>
          <w:b w:val="0"/>
          <w:i w:val="0"/>
          <w:color w:val="26383F"/>
          <w:sz w:val="21"/>
        </w:rPr>
        <w:t>Applied statistics and data literacy, including rates, percentages, distributions, trends, subgroup comparisons, suppression, missingness, correlation, sampling limitations, and the difference between descriptive evidence and causal claims.</w:t>
      </w:r>
    </w:p>
    <w:p>
      <w:pPr>
        <w:pStyle w:val="ListBullet"/>
        <w:keepLines/>
      </w:pPr>
      <w:r>
        <w:rPr>
          <w:rFonts w:ascii="Aptos" w:hAnsi="Aptos"/>
          <w:b w:val="0"/>
          <w:i w:val="0"/>
          <w:color w:val="26383F"/>
          <w:sz w:val="21"/>
        </w:rPr>
        <w:t>Data governance, student privacy, role-based access, records lifecycle, cybersecurity awareness, documentation, change management, project coordination, adult learning, and customer support.</w:t>
      </w:r>
    </w:p>
    <w:p>
      <w:pPr>
        <w:pStyle w:val="ListBullet"/>
        <w:keepLines/>
      </w:pPr>
      <w:r>
        <w:rPr>
          <w:rFonts w:ascii="Aptos" w:hAnsi="Aptos"/>
          <w:b w:val="0"/>
          <w:i w:val="0"/>
          <w:color w:val="26383F"/>
          <w:sz w:val="21"/>
        </w:rPr>
        <w:t>Clear written and oral communication; facilitation of cross-functional groups; calm judgment during high-stakes deadlines; attention to detail; and respectful handling of confidential or contested information.</w:t>
      </w:r>
    </w:p>
    <w:p>
      <w:pPr>
        <w:pStyle w:val="Heading1"/>
        <w:spacing w:before="260" w:after="140"/>
        <w:pBdr>
          <w:left w:val="single" w:sz="24" w:space="8" w:color="ADD444"/>
        </w:pBdr>
      </w:pPr>
      <w:r>
        <w:rPr>
          <w:rFonts w:ascii="Aptos" w:hAnsi="Aptos"/>
          <w:b/>
          <w:i w:val="0"/>
          <w:color w:val="244A5C"/>
          <w:sz w:val="32"/>
        </w:rPr>
        <w:t>Minimum Qualifications</w:t>
      </w:r>
    </w:p>
    <w:p>
      <w:pPr>
        <w:pStyle w:val="ListBullet"/>
        <w:keepLines/>
      </w:pPr>
      <w:r>
        <w:rPr>
          <w:rFonts w:ascii="Aptos" w:hAnsi="Aptos"/>
          <w:b w:val="0"/>
          <w:i w:val="0"/>
          <w:color w:val="26383F"/>
          <w:sz w:val="21"/>
        </w:rPr>
        <w:t>Bachelor's degree in education, educational measurement, public administration, data analytics, information systems, social science, or a related field; additional relevant experience may substitute for education where permitted by district policy.</w:t>
      </w:r>
    </w:p>
    <w:p>
      <w:pPr>
        <w:pStyle w:val="ListBullet"/>
        <w:keepLines/>
      </w:pPr>
      <w:r>
        <w:rPr>
          <w:rFonts w:ascii="Aptos" w:hAnsi="Aptos"/>
          <w:b w:val="0"/>
          <w:i w:val="0"/>
          <w:color w:val="26383F"/>
          <w:sz w:val="21"/>
        </w:rPr>
        <w:t>Four years of progressively responsible experience coordinating assessment, accountability, educational data, program evaluation, state reporting, or a comparable function in a complex organization.</w:t>
      </w:r>
    </w:p>
    <w:p>
      <w:pPr>
        <w:pStyle w:val="ListBullet"/>
        <w:keepLines/>
      </w:pPr>
      <w:r>
        <w:rPr>
          <w:rFonts w:ascii="Aptos" w:hAnsi="Aptos"/>
          <w:b w:val="0"/>
          <w:i w:val="0"/>
          <w:color w:val="26383F"/>
          <w:sz w:val="21"/>
        </w:rPr>
        <w:t>Experience training and supporting varied users, managing overlapping deadlines, validating detailed records, preparing reports, and coordinating work across departments or locations.</w:t>
      </w:r>
    </w:p>
    <w:p>
      <w:pPr>
        <w:pStyle w:val="ListBullet"/>
        <w:keepLines/>
      </w:pPr>
      <w:r>
        <w:rPr>
          <w:rFonts w:ascii="Aptos" w:hAnsi="Aptos"/>
          <w:b w:val="0"/>
          <w:i w:val="0"/>
          <w:color w:val="26383F"/>
          <w:sz w:val="21"/>
        </w:rPr>
        <w:t>Demonstrated proficiency with spreadsheets and reporting tools and the ability to analyze record-level and aggregate data while protecting confidential information.</w:t>
      </w:r>
    </w:p>
    <w:p>
      <w:pPr>
        <w:pStyle w:val="Heading1"/>
        <w:spacing w:before="260" w:after="140"/>
        <w:pBdr>
          <w:left w:val="single" w:sz="24" w:space="8" w:color="B493C5"/>
        </w:pBdr>
      </w:pPr>
      <w:r>
        <w:rPr>
          <w:rFonts w:ascii="Aptos" w:hAnsi="Aptos"/>
          <w:b/>
          <w:i w:val="0"/>
          <w:color w:val="244A5C"/>
          <w:sz w:val="32"/>
        </w:rPr>
        <w:t>Preferred Qualifications</w:t>
      </w:r>
    </w:p>
    <w:p>
      <w:pPr>
        <w:pStyle w:val="ListBullet"/>
        <w:keepLines/>
      </w:pPr>
      <w:r>
        <w:rPr>
          <w:rFonts w:ascii="Aptos" w:hAnsi="Aptos"/>
          <w:b w:val="0"/>
          <w:i w:val="0"/>
          <w:color w:val="26383F"/>
          <w:sz w:val="21"/>
        </w:rPr>
        <w:t>Direct experience coordinating CAASPP, ELPAC, TOMS, California School Dashboard, DataQuest, CALPADS, local indicators, or related California accountability processes.</w:t>
      </w:r>
    </w:p>
    <w:p>
      <w:pPr>
        <w:pStyle w:val="ListBullet"/>
        <w:keepLines/>
      </w:pPr>
      <w:r>
        <w:rPr>
          <w:rFonts w:ascii="Aptos" w:hAnsi="Aptos"/>
          <w:b w:val="0"/>
          <w:i w:val="0"/>
          <w:color w:val="26383F"/>
          <w:sz w:val="21"/>
        </w:rPr>
        <w:t>Experience with a K-12 SIS, special education data, multilingual learner data, local benchmark or interim assessment platforms, and data visualization tools.</w:t>
      </w:r>
    </w:p>
    <w:p>
      <w:pPr>
        <w:pStyle w:val="ListBullet"/>
        <w:keepLines/>
      </w:pPr>
      <w:r>
        <w:rPr>
          <w:rFonts w:ascii="Aptos" w:hAnsi="Aptos"/>
          <w:b w:val="0"/>
          <w:i w:val="0"/>
          <w:color w:val="26383F"/>
          <w:sz w:val="21"/>
        </w:rPr>
        <w:t>Working knowledge of SQL, APIs, Python, R, Power Query, Power BI, Tableau, or comparable analysis and automation tools; equivalent skills and tools should receive equal consideration.</w:t>
      </w:r>
    </w:p>
    <w:p>
      <w:pPr>
        <w:pStyle w:val="ListBullet"/>
        <w:keepLines/>
      </w:pPr>
      <w:r>
        <w:rPr>
          <w:rFonts w:ascii="Aptos" w:hAnsi="Aptos"/>
          <w:b w:val="0"/>
          <w:i w:val="0"/>
          <w:color w:val="26383F"/>
          <w:sz w:val="21"/>
        </w:rPr>
        <w:t>Experience supporting data governance, privacy, accessibility, cybersecurity controls, vendor implementation, or systems integration.</w:t>
      </w:r>
    </w:p>
    <w:p>
      <w:pPr>
        <w:pStyle w:val="ListBullet"/>
        <w:keepLines/>
      </w:pPr>
      <w:r>
        <w:rPr>
          <w:rFonts w:ascii="Aptos" w:hAnsi="Aptos"/>
          <w:b w:val="0"/>
          <w:i w:val="0"/>
          <w:color w:val="26383F"/>
          <w:sz w:val="21"/>
        </w:rPr>
        <w:t>Graduate coursework or certification in assessment, educational research, program evaluation, data management, project management, or a related area.</w:t>
      </w:r>
    </w:p>
    <w:p>
      <w:pPr>
        <w:pStyle w:val="Heading1"/>
        <w:spacing w:before="260" w:after="140"/>
        <w:pBdr>
          <w:left w:val="single" w:sz="24" w:space="8" w:color="FDAD43"/>
        </w:pBdr>
      </w:pPr>
      <w:r>
        <w:rPr>
          <w:rFonts w:ascii="Aptos" w:hAnsi="Aptos"/>
          <w:b/>
          <w:i w:val="0"/>
          <w:color w:val="244A5C"/>
          <w:sz w:val="32"/>
        </w:rPr>
        <w:t>Physical Demands and Work Environment</w:t>
      </w:r>
    </w:p>
    <w:p>
      <w:pPr>
        <w:pStyle w:val="ListBullet"/>
        <w:keepLines/>
      </w:pPr>
      <w:r>
        <w:rPr>
          <w:rFonts w:ascii="Aptos" w:hAnsi="Aptos"/>
          <w:b w:val="0"/>
          <w:i w:val="0"/>
          <w:color w:val="26383F"/>
          <w:sz w:val="21"/>
        </w:rPr>
        <w:t>Work is primarily performed in an office, school, testing, meeting, or remote-work environment using computers and communication systems for extended periods. Duties require reviewing detailed records, communicating with varied audiences, traveling among district locations as assigned, and occasionally moving assessment materials or equipment weighing up to 25 pounds. Work outside normal hours may be required during testing windows, reporting deadlines, public releases, governing-board meetings, or incidents. Reasonable accommodations may be made to enable individuals with disabilities to perform the essential functions.</w:t>
      </w:r>
    </w:p>
    <w:p>
      <w:pPr>
        <w:pStyle w:val="Heading1"/>
        <w:pBdr>
          <w:left w:val="single" w:sz="24" w:space="8" w:color="315F74"/>
        </w:pBdr>
      </w:pPr>
      <w:r>
        <w:rPr>
          <w:rFonts w:ascii="Aptos" w:hAnsi="Aptos"/>
          <w:b/>
          <w:i w:val="0"/>
          <w:color w:val="244A5C"/>
          <w:sz w:val="32"/>
        </w:rPr>
        <w:t>Employment and Classification Notes</w:t>
      </w:r>
    </w:p>
    <w:p>
      <w:pPr>
        <w:pStyle w:val="ListBullet"/>
      </w:pPr>
      <w:r>
        <w:rPr>
          <w:rFonts w:ascii="Aptos" w:hAnsi="Aptos"/>
          <w:b w:val="0"/>
          <w:i w:val="0"/>
          <w:color w:val="26383F"/>
          <w:sz w:val="21"/>
        </w:rPr>
        <w:t>This description identifies the general nature and level of work. It is not an exhaustive list of every duty, responsibility, qualification, or working condition.</w:t>
      </w:r>
    </w:p>
    <w:p>
      <w:pPr>
        <w:pStyle w:val="ListBullet"/>
      </w:pPr>
      <w:r>
        <w:rPr>
          <w:rFonts w:ascii="Aptos" w:hAnsi="Aptos"/>
          <w:b w:val="0"/>
          <w:i w:val="0"/>
          <w:color w:val="26383F"/>
          <w:sz w:val="21"/>
        </w:rPr>
        <w:t>The district may assign related duties and may revise the description to reflect operational needs, technology, law, policy, bargaining agreements, and organizational structure.</w:t>
      </w:r>
    </w:p>
    <w:p>
      <w:pPr>
        <w:pStyle w:val="ListBullet"/>
      </w:pPr>
      <w:r>
        <w:rPr>
          <w:rFonts w:ascii="Aptos" w:hAnsi="Aptos"/>
          <w:b w:val="0"/>
          <w:i w:val="0"/>
          <w:color w:val="26383F"/>
          <w:sz w:val="21"/>
        </w:rPr>
        <w:t>Final FLSA status, salary placement, supervision, bargaining-unit status, required clearances, and essential-function determinations must be established by the employing agency.</w:t>
      </w:r>
    </w:p>
    <w:p>
      <w:pPr>
        <w:spacing w:before="240" w:after="0"/>
        <w:ind w:left="187" w:right="187"/>
        <w:shd w:fill="F4F4F4"/>
        <w:pBdr>
          <w:left w:val="single" w:sz="18" w:space="8" w:color="FDAD43"/>
        </w:pBdr>
      </w:pPr>
      <w:r>
        <w:rPr>
          <w:rFonts w:ascii="Aptos" w:hAnsi="Aptos"/>
          <w:b/>
          <w:i w:val="0"/>
          <w:color w:val="244A5C"/>
          <w:sz w:val="20"/>
        </w:rPr>
        <w:t xml:space="preserve">Local adaptation required. </w:t>
      </w:r>
      <w:r>
        <w:rPr>
          <w:rFonts w:ascii="Aptos" w:hAnsi="Aptos"/>
          <w:b w:val="0"/>
          <w:i w:val="0"/>
          <w:color w:val="5D6C72"/>
          <w:sz w:val="20"/>
        </w:rPr>
        <w:t>Human Resources, program leadership, technology leadership, labor relations, privacy/security personnel, and legal counsel as appropriate should review the final classification before use. Avoid treating preferred tools as mandatory when equivalent skills would meet the district’s needs.</w:t>
      </w:r>
    </w:p>
    <w:sectPr w:rsidR="00FC693F" w:rsidRPr="0006063C" w:rsidSect="00034616">
      <w:headerReference w:type="default" r:id="rId9"/>
      <w:footerReference w:type="default" r:id="rId10"/>
      <w:pgSz w:w="12240" w:h="15840"/>
      <w:pgMar w:top="1123" w:right="1296" w:bottom="1123" w:left="1296"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5D6C72"/>
        <w:sz w:val="16"/>
      </w:rPr>
      <w:t>SDLA reference exemplar • Review and adapt locally before adoption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5D6C72"/>
        <w:sz w:val="17"/>
      </w:rPr>
      <w:t>SCHOOL DATA LEADERSHIP ASSOCIATION  |  PROFESSIONAL JOB DESCRIPTION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Aptos" w:hAnsi="Aptos"/>
      <w:color w:val="26383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ptos Display" w:hAnsi="Aptos Display"/>
      <w:b/>
      <w:bCs/>
      <w:color w:val="315F74"/>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ptos Display" w:hAnsi="Aptos Display"/>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00" w:line="264" w:lineRule="auto"/>
      <w:ind w:left="490" w:hanging="259"/>
      <w:contextualSpacing/>
    </w:pPr>
    <w:rPr>
      <w:rFonts w:ascii="Aptos" w:hAnsi="Aptos"/>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SDLA Professional Job Description - Accountability Coordinator</dc:title>
  <dc:subject>Modern K-12 assessment and accountability professional job-description exemplar</dc:subject>
  <dc:creator>School Data Leadership Association</dc:creator>
  <cp:keywords>job description, K-12, accountability, CAASPP, ELPAC, data governance, SDLA</cp:keywords>
  <dc:description>Reference exemplar requiring local HR, program, privacy, and legal review before adoption.</dc:description>
  <cp:lastModifiedBy/>
  <cp:revision>1</cp:revision>
  <dcterms:created xsi:type="dcterms:W3CDTF">2013-12-23T23:15:00Z</dcterms:created>
  <dcterms:modified xsi:type="dcterms:W3CDTF">2013-12-23T23:15:00Z</dcterms:modified>
  <cp:category/>
</cp:coreProperties>
</file>